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B74D9C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77592C" w:rsidRPr="0077592C">
        <w:rPr>
          <w:rFonts w:ascii="Times New Roman" w:hAnsi="Times New Roman" w:cs="Times New Roman"/>
          <w:b w:val="0"/>
          <w:sz w:val="24"/>
          <w:szCs w:val="24"/>
        </w:rPr>
        <w:t>Об утверждении порядка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 унитарного предприятия</w:t>
      </w:r>
      <w:r w:rsidR="00190F09">
        <w:rPr>
          <w:rFonts w:ascii="Times New Roman" w:hAnsi="Times New Roman" w:cs="Times New Roman"/>
          <w:b w:val="0"/>
          <w:sz w:val="24"/>
          <w:szCs w:val="24"/>
        </w:rPr>
        <w:t>»</w:t>
      </w:r>
      <w:bookmarkStart w:id="0" w:name="_GoBack"/>
      <w:bookmarkEnd w:id="0"/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B23E77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77592C" w:rsidRPr="0077592C">
        <w:rPr>
          <w:rFonts w:ascii="Times New Roman" w:hAnsi="Times New Roman" w:cs="Times New Roman"/>
          <w:b w:val="0"/>
          <w:sz w:val="24"/>
        </w:rPr>
        <w:t>Об утверждении порядка определения состава имущества, закрепляемого за муниципальным унитарным предприятием Большебейсугского сельского поселения Брюховецкого района, а также утверждения устава муниципального</w:t>
      </w:r>
      <w:proofErr w:type="gramEnd"/>
      <w:r w:rsidR="0077592C" w:rsidRPr="0077592C">
        <w:rPr>
          <w:rFonts w:ascii="Times New Roman" w:hAnsi="Times New Roman" w:cs="Times New Roman"/>
          <w:b w:val="0"/>
          <w:sz w:val="24"/>
        </w:rPr>
        <w:t xml:space="preserve"> унитарного предприятия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B74D9C">
        <w:rPr>
          <w:rFonts w:ascii="Times New Roman" w:hAnsi="Times New Roman" w:cs="Times New Roman"/>
          <w:sz w:val="24"/>
          <w:szCs w:val="28"/>
        </w:rPr>
        <w:t xml:space="preserve">   Д.А. Герасименко</w:t>
      </w: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B74D9C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16 июля </w:t>
      </w:r>
      <w:r w:rsidR="00B23E77">
        <w:rPr>
          <w:rFonts w:ascii="Times New Roman" w:hAnsi="Times New Roman" w:cs="Times New Roman"/>
          <w:sz w:val="24"/>
          <w:szCs w:val="28"/>
        </w:rPr>
        <w:t xml:space="preserve">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190F09"/>
    <w:rsid w:val="003E3D3C"/>
    <w:rsid w:val="00446862"/>
    <w:rsid w:val="00473B7B"/>
    <w:rsid w:val="005C04C4"/>
    <w:rsid w:val="006874E4"/>
    <w:rsid w:val="00720CFD"/>
    <w:rsid w:val="0072576C"/>
    <w:rsid w:val="0077592C"/>
    <w:rsid w:val="00875D1E"/>
    <w:rsid w:val="008C470D"/>
    <w:rsid w:val="009739A5"/>
    <w:rsid w:val="009A05A0"/>
    <w:rsid w:val="009C69AF"/>
    <w:rsid w:val="00A35F4B"/>
    <w:rsid w:val="00B23E77"/>
    <w:rsid w:val="00B32A95"/>
    <w:rsid w:val="00B74D9C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5</cp:revision>
  <cp:lastPrinted>2019-05-06T07:21:00Z</cp:lastPrinted>
  <dcterms:created xsi:type="dcterms:W3CDTF">2019-05-06T07:24:00Z</dcterms:created>
  <dcterms:modified xsi:type="dcterms:W3CDTF">2019-07-26T05:16:00Z</dcterms:modified>
</cp:coreProperties>
</file>