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264F85" w:rsidRPr="00264F85">
        <w:rPr>
          <w:rFonts w:ascii="Times New Roman" w:hAnsi="Times New Roman" w:cs="Times New Roman"/>
          <w:b w:val="0"/>
          <w:sz w:val="24"/>
          <w:szCs w:val="24"/>
        </w:rPr>
        <w:t>Об утверждении порядка осуществления заимствований муниципальными унитарными предприятиями подведомственными администрации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264F85" w:rsidRPr="00264F85">
        <w:rPr>
          <w:rFonts w:ascii="Times New Roman" w:hAnsi="Times New Roman" w:cs="Times New Roman"/>
          <w:b w:val="0"/>
          <w:sz w:val="24"/>
        </w:rPr>
        <w:t>Об утверждении порядка осуществления заимствований муниципальными унитарными предприятиями подведомственными администрации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264F85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22.11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264F85"/>
    <w:rsid w:val="003E3D3C"/>
    <w:rsid w:val="00446862"/>
    <w:rsid w:val="004663D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2018-12-07T06:01:00Z</dcterms:created>
  <dcterms:modified xsi:type="dcterms:W3CDTF">2018-12-07T06:01:00Z</dcterms:modified>
</cp:coreProperties>
</file>